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2C6FE4" w:rsidP="005E44C1">
            <w:pPr>
              <w:spacing w:before="60" w:after="60"/>
            </w:pPr>
            <w:r>
              <w:t xml:space="preserve">Język </w:t>
            </w:r>
            <w:r w:rsidR="00876E88">
              <w:t xml:space="preserve">obcy </w:t>
            </w:r>
            <w:r w:rsidR="005E44C1">
              <w:t>specjalistyczny</w:t>
            </w:r>
            <w:r>
              <w:t xml:space="preserve">  </w:t>
            </w:r>
            <w:r w:rsidR="00782617">
              <w:t xml:space="preserve">  </w:t>
            </w:r>
            <w:r w:rsidR="000574C9">
              <w:t>D2.0</w:t>
            </w:r>
            <w:r w:rsidR="005E44C1">
              <w:t>5</w:t>
            </w:r>
          </w:p>
        </w:tc>
      </w:tr>
      <w:tr w:rsidR="002C6FE4" w:rsidRPr="005B7F33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8844B4" w:rsidRDefault="008844B4" w:rsidP="005E44C1">
            <w:pPr>
              <w:spacing w:before="60" w:after="60"/>
              <w:rPr>
                <w:lang w:val="en-US"/>
              </w:rPr>
            </w:pPr>
            <w:r w:rsidRPr="008844B4">
              <w:rPr>
                <w:lang w:val="en-US"/>
              </w:rPr>
              <w:t>Foreign language for specific purposes</w:t>
            </w:r>
            <w:r w:rsidR="00782617" w:rsidRPr="008844B4">
              <w:rPr>
                <w:lang w:val="en-US"/>
              </w:rPr>
              <w:t xml:space="preserve"> </w:t>
            </w:r>
            <w:r w:rsidR="005E44C1" w:rsidRPr="008844B4">
              <w:rPr>
                <w:lang w:val="en-US"/>
              </w:rPr>
              <w:t xml:space="preserve"> 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B30E3A" w:rsidP="00782617">
            <w:pPr>
              <w:spacing w:before="60" w:after="60"/>
            </w:pPr>
            <w:r>
              <w:t>Tu</w:t>
            </w:r>
            <w:r w:rsidR="00782617">
              <w:t>rystyka i rekreacja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--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D36E93"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D36E93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D36E93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D36E93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0574C9" w:rsidP="00D36E93">
            <w:pPr>
              <w:spacing w:after="90"/>
              <w:jc w:val="both"/>
            </w:pPr>
            <w:r>
              <w:t>Inne przedmioty/moduły do wyboru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D36E93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076556" w:rsidP="00876E88">
            <w:pPr>
              <w:spacing w:before="60" w:after="60"/>
            </w:pPr>
            <w:r>
              <w:t>polski/angielski</w:t>
            </w:r>
            <w:r w:rsidR="002C6FE4">
              <w:rPr>
                <w:color w:val="FF0000"/>
              </w:rPr>
              <w:t xml:space="preserve"> 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5E44C1" w:rsidP="005E44C1">
            <w:pPr>
              <w:spacing w:before="60" w:after="60"/>
            </w:pPr>
            <w:r>
              <w:t>III</w:t>
            </w:r>
            <w:r w:rsidR="002C6FE4">
              <w:t xml:space="preserve">/ </w:t>
            </w:r>
            <w:r>
              <w:t>5</w:t>
            </w:r>
            <w:r w:rsidR="00876E88">
              <w:t xml:space="preserve"> </w:t>
            </w:r>
          </w:p>
        </w:tc>
      </w:tr>
      <w:tr w:rsidR="002C6FE4" w:rsidRPr="00B33361" w:rsidTr="00D36E93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D36E93">
            <w:pPr>
              <w:spacing w:before="60" w:after="60"/>
            </w:pPr>
            <w:r>
              <w:t>stacjonarne – ćwiczenia audytoryjne</w:t>
            </w:r>
          </w:p>
          <w:p w:rsidR="002C6FE4" w:rsidRDefault="005E44C1" w:rsidP="00D36E93">
            <w:pPr>
              <w:spacing w:before="60" w:after="60"/>
            </w:pPr>
            <w:r>
              <w:t>30h</w:t>
            </w:r>
          </w:p>
          <w:p w:rsidR="002C6FE4" w:rsidRPr="007C4E3F" w:rsidRDefault="00782617" w:rsidP="00D36E93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D36E93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Interesariusze i instytucje partnerskie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D36E93">
            <w:pPr>
              <w:spacing w:after="90"/>
              <w:jc w:val="both"/>
            </w:pPr>
          </w:p>
        </w:tc>
      </w:tr>
      <w:tr w:rsidR="002C6FE4" w:rsidRPr="00B33361" w:rsidTr="00D36E93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D36E93"/>
          <w:p w:rsidR="002C6FE4" w:rsidRDefault="002C6FE4" w:rsidP="00D36E93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D36E93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Default="005E44C1" w:rsidP="00D36E93">
            <w:pPr>
              <w:spacing w:before="60" w:after="60"/>
            </w:pPr>
            <w:r>
              <w:t>4</w:t>
            </w:r>
          </w:p>
          <w:p w:rsidR="002C6FE4" w:rsidRPr="00B33361" w:rsidRDefault="00876E88" w:rsidP="00D36E93">
            <w:pPr>
              <w:spacing w:before="60" w:after="60"/>
            </w:pPr>
            <w:r>
              <w:t xml:space="preserve"> 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D36E93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D36E93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D36E93"/>
          <w:p w:rsidR="002C6FE4" w:rsidRDefault="002C6FE4" w:rsidP="00D36E93">
            <w:r>
              <w:t xml:space="preserve">ćwiczenia, </w:t>
            </w:r>
          </w:p>
          <w:p w:rsidR="002C6FE4" w:rsidRDefault="002C6FE4" w:rsidP="00D36E93">
            <w:r>
              <w:t>konsultacje,</w:t>
            </w:r>
          </w:p>
          <w:p w:rsidR="002C6FE4" w:rsidRPr="00B33361" w:rsidRDefault="002C6FE4" w:rsidP="00D36E93"/>
          <w:p w:rsidR="002C6FE4" w:rsidRPr="00B33361" w:rsidRDefault="002C6FE4" w:rsidP="00D36E93"/>
          <w:p w:rsidR="002C6FE4" w:rsidRPr="00B33361" w:rsidRDefault="002C6FE4" w:rsidP="00D36E93"/>
          <w:p w:rsidR="002C6FE4" w:rsidRPr="00B33361" w:rsidRDefault="002C6FE4" w:rsidP="00D36E93">
            <w:pPr>
              <w:rPr>
                <w:b/>
              </w:rPr>
            </w:pPr>
          </w:p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D36E93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5E44C1" w:rsidP="00D36E93">
            <w:pPr>
              <w:jc w:val="center"/>
            </w:pPr>
            <w:r>
              <w:t xml:space="preserve"> 30</w:t>
            </w:r>
          </w:p>
          <w:p w:rsidR="002C6FE4" w:rsidRDefault="002C6FE4" w:rsidP="00D36E93">
            <w:pPr>
              <w:jc w:val="center"/>
            </w:pPr>
          </w:p>
          <w:p w:rsidR="002C6FE4" w:rsidRDefault="002C6FE4" w:rsidP="00D36E93">
            <w:pPr>
              <w:jc w:val="center"/>
            </w:pPr>
          </w:p>
          <w:p w:rsidR="00876E88" w:rsidRDefault="00876E88" w:rsidP="00D36E93">
            <w:pPr>
              <w:jc w:val="center"/>
            </w:pPr>
          </w:p>
          <w:p w:rsidR="005E44C1" w:rsidRDefault="005E44C1" w:rsidP="00D36E93">
            <w:pPr>
              <w:jc w:val="center"/>
            </w:pPr>
          </w:p>
          <w:p w:rsidR="005E44C1" w:rsidRDefault="005E44C1" w:rsidP="00D36E93">
            <w:pPr>
              <w:jc w:val="center"/>
            </w:pPr>
          </w:p>
          <w:p w:rsidR="005E44C1" w:rsidRDefault="005E44C1" w:rsidP="00D36E93">
            <w:pPr>
              <w:jc w:val="center"/>
            </w:pPr>
          </w:p>
          <w:p w:rsidR="002C6FE4" w:rsidRDefault="005E44C1" w:rsidP="00D36E93">
            <w:pPr>
              <w:jc w:val="center"/>
            </w:pPr>
            <w:r>
              <w:t>30</w:t>
            </w:r>
          </w:p>
          <w:p w:rsidR="005E44C1" w:rsidRPr="00B33361" w:rsidRDefault="005E44C1" w:rsidP="00D36E93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8844B4" w:rsidRDefault="008844B4" w:rsidP="00D36E93">
            <w:pPr>
              <w:jc w:val="center"/>
            </w:pPr>
            <w:r>
              <w:t>30</w:t>
            </w:r>
          </w:p>
          <w:p w:rsidR="008844B4" w:rsidRDefault="008844B4" w:rsidP="00D36E93">
            <w:pPr>
              <w:jc w:val="center"/>
            </w:pPr>
          </w:p>
          <w:p w:rsidR="008844B4" w:rsidRDefault="008844B4" w:rsidP="00D36E93">
            <w:pPr>
              <w:jc w:val="center"/>
            </w:pPr>
          </w:p>
          <w:p w:rsidR="008844B4" w:rsidRDefault="008844B4" w:rsidP="00D36E93">
            <w:pPr>
              <w:jc w:val="center"/>
            </w:pPr>
          </w:p>
          <w:p w:rsidR="008844B4" w:rsidRDefault="008844B4" w:rsidP="00D36E93">
            <w:pPr>
              <w:jc w:val="center"/>
            </w:pPr>
          </w:p>
          <w:p w:rsidR="008844B4" w:rsidRDefault="008844B4" w:rsidP="00D36E93">
            <w:pPr>
              <w:jc w:val="center"/>
            </w:pPr>
          </w:p>
          <w:p w:rsidR="008844B4" w:rsidRDefault="008844B4" w:rsidP="00D36E93">
            <w:pPr>
              <w:jc w:val="center"/>
            </w:pPr>
          </w:p>
          <w:p w:rsidR="008844B4" w:rsidRDefault="008844B4" w:rsidP="00D36E93">
            <w:pPr>
              <w:jc w:val="center"/>
            </w:pPr>
            <w:r>
              <w:t>30</w:t>
            </w:r>
          </w:p>
          <w:p w:rsidR="002C6FE4" w:rsidRPr="00B33361" w:rsidRDefault="008844B4" w:rsidP="00D36E93">
            <w:pPr>
              <w:jc w:val="center"/>
            </w:pPr>
            <w:r>
              <w:t>3</w:t>
            </w:r>
            <w:r w:rsidR="005E44C1">
              <w:t xml:space="preserve"> 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D36E93"/>
          <w:p w:rsidR="002C6FE4" w:rsidRPr="00B33361" w:rsidRDefault="002C6FE4" w:rsidP="00D36E93">
            <w:r>
              <w:t>przygotowanie ogólne</w:t>
            </w:r>
          </w:p>
          <w:p w:rsidR="002C6FE4" w:rsidRPr="00B33361" w:rsidRDefault="002C6FE4" w:rsidP="00D36E93">
            <w:r>
              <w:t>praca nad projektem</w:t>
            </w:r>
          </w:p>
          <w:p w:rsidR="002C6FE4" w:rsidRPr="00B33361" w:rsidRDefault="002C6FE4" w:rsidP="00D36E93">
            <w:r>
              <w:t>przygotowanie go egzaminu</w:t>
            </w:r>
          </w:p>
          <w:p w:rsidR="002C6FE4" w:rsidRPr="00B33361" w:rsidRDefault="002C6FE4" w:rsidP="00D36E93"/>
          <w:p w:rsidR="002C6FE4" w:rsidRPr="00B33361" w:rsidRDefault="002C6FE4" w:rsidP="00D36E93"/>
          <w:p w:rsidR="002C6FE4" w:rsidRPr="00B33361" w:rsidRDefault="002C6FE4" w:rsidP="00D36E93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D36E93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076556" w:rsidRDefault="00876E88" w:rsidP="00F857EB">
            <w:r w:rsidRPr="000574C9">
              <w:t xml:space="preserve"> </w:t>
            </w:r>
            <w:r w:rsidR="00F857EB" w:rsidRPr="000574C9">
              <w:t xml:space="preserve"> </w:t>
            </w:r>
            <w:r w:rsidR="005E44C1">
              <w:t xml:space="preserve">   </w:t>
            </w:r>
          </w:p>
          <w:p w:rsidR="002C6FE4" w:rsidRPr="000574C9" w:rsidRDefault="00076556" w:rsidP="00F857EB">
            <w:r>
              <w:t xml:space="preserve">   </w:t>
            </w:r>
            <w:r w:rsidR="00541402">
              <w:t>10</w:t>
            </w:r>
          </w:p>
          <w:p w:rsidR="00076556" w:rsidRDefault="005B7F33" w:rsidP="005B7F33">
            <w:r>
              <w:t xml:space="preserve">  </w:t>
            </w:r>
            <w:r w:rsidR="00541402">
              <w:t xml:space="preserve">  </w:t>
            </w:r>
            <w:r>
              <w:t xml:space="preserve"> </w:t>
            </w:r>
            <w:r w:rsidR="00541402">
              <w:t>5</w:t>
            </w:r>
          </w:p>
          <w:p w:rsidR="00076556" w:rsidRDefault="00541402" w:rsidP="00541402">
            <w:r>
              <w:t xml:space="preserve">   15</w:t>
            </w:r>
          </w:p>
          <w:p w:rsidR="00076556" w:rsidRDefault="00076556" w:rsidP="00D36E93">
            <w:pPr>
              <w:jc w:val="center"/>
            </w:pPr>
          </w:p>
          <w:p w:rsidR="00076556" w:rsidRDefault="00076556" w:rsidP="00D36E93">
            <w:pPr>
              <w:jc w:val="center"/>
            </w:pPr>
          </w:p>
          <w:p w:rsidR="00076556" w:rsidRDefault="005B7F33" w:rsidP="00D36E93">
            <w:pPr>
              <w:jc w:val="center"/>
            </w:pPr>
            <w:r>
              <w:t>30</w:t>
            </w:r>
          </w:p>
          <w:p w:rsidR="002C6FE4" w:rsidRPr="000574C9" w:rsidRDefault="005E44C1" w:rsidP="00D36E93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C6FE4" w:rsidRPr="000574C9" w:rsidRDefault="002C6FE4" w:rsidP="00D36E93">
            <w:pPr>
              <w:jc w:val="center"/>
            </w:pPr>
          </w:p>
          <w:p w:rsidR="002C6FE4" w:rsidRDefault="00541402" w:rsidP="00D36E93">
            <w:pPr>
              <w:jc w:val="center"/>
            </w:pPr>
            <w:r>
              <w:t>10</w:t>
            </w:r>
          </w:p>
          <w:p w:rsidR="008844B4" w:rsidRDefault="00541402" w:rsidP="00D36E93">
            <w:pPr>
              <w:jc w:val="center"/>
            </w:pPr>
            <w:r>
              <w:t xml:space="preserve"> 5</w:t>
            </w:r>
          </w:p>
          <w:p w:rsidR="008844B4" w:rsidRDefault="00541402" w:rsidP="00D36E93">
            <w:pPr>
              <w:jc w:val="center"/>
            </w:pPr>
            <w:r>
              <w:t>15</w:t>
            </w:r>
          </w:p>
          <w:p w:rsidR="008844B4" w:rsidRDefault="008844B4" w:rsidP="00D36E93">
            <w:pPr>
              <w:jc w:val="center"/>
            </w:pPr>
          </w:p>
          <w:p w:rsidR="002C6FE4" w:rsidRPr="000574C9" w:rsidRDefault="002C6FE4" w:rsidP="00D36E93">
            <w:pPr>
              <w:jc w:val="center"/>
            </w:pPr>
          </w:p>
          <w:p w:rsidR="008844B4" w:rsidRDefault="005B7F33" w:rsidP="00D36E93">
            <w:pPr>
              <w:jc w:val="center"/>
            </w:pPr>
            <w:r>
              <w:t>30</w:t>
            </w:r>
          </w:p>
          <w:p w:rsidR="002C6FE4" w:rsidRPr="000574C9" w:rsidRDefault="008844B4" w:rsidP="00D36E93">
            <w:pPr>
              <w:jc w:val="center"/>
            </w:pPr>
            <w:r>
              <w:t>1</w:t>
            </w:r>
            <w:r w:rsidR="005E44C1">
              <w:t xml:space="preserve"> 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D36E93"/>
          <w:p w:rsidR="002C6FE4" w:rsidRPr="00B33361" w:rsidRDefault="002C6FE4" w:rsidP="00D36E93"/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D36E93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D36E93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D36E93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D36E93">
            <w:pPr>
              <w:spacing w:before="60" w:after="60"/>
            </w:pPr>
          </w:p>
          <w:p w:rsidR="002C6FE4" w:rsidRPr="00B33361" w:rsidRDefault="002C6FE4" w:rsidP="00D36E93">
            <w:pPr>
              <w:spacing w:before="60" w:after="60"/>
            </w:pPr>
          </w:p>
          <w:p w:rsidR="002C6FE4" w:rsidRPr="00B33361" w:rsidRDefault="002C6FE4" w:rsidP="00D36E93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D36E93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D36E93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D36E93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1467"/>
        <w:gridCol w:w="392"/>
        <w:gridCol w:w="2673"/>
        <w:gridCol w:w="1133"/>
        <w:gridCol w:w="1279"/>
        <w:gridCol w:w="1560"/>
      </w:tblGrid>
      <w:tr w:rsidR="002C6FE4" w:rsidRPr="00B33361" w:rsidTr="00D36E93"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D36E93">
            <w:pPr>
              <w:spacing w:after="90"/>
              <w:jc w:val="both"/>
            </w:pPr>
          </w:p>
        </w:tc>
        <w:tc>
          <w:tcPr>
            <w:tcW w:w="3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5E44C1">
            <w:pPr>
              <w:autoSpaceDE w:val="0"/>
              <w:autoSpaceDN w:val="0"/>
              <w:adjustRightInd w:val="0"/>
            </w:pPr>
            <w:r>
              <w:t xml:space="preserve">zdobycie kompetencji językowych </w:t>
            </w:r>
            <w:r w:rsidR="005E44C1">
              <w:t xml:space="preserve"> w zakresie języka obcego specjalistycznego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592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408" w:type="pct"/>
            <w:gridSpan w:val="4"/>
            <w:tcBorders>
              <w:left w:val="nil"/>
            </w:tcBorders>
          </w:tcPr>
          <w:p w:rsidR="002C6FE4" w:rsidRDefault="002C6FE4" w:rsidP="00D36E9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D36E93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2" w:type="pct"/>
            <w:gridSpan w:val="3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D36E9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408" w:type="pct"/>
            <w:gridSpan w:val="4"/>
            <w:tcBorders>
              <w:left w:val="nil"/>
              <w:bottom w:val="single" w:sz="4" w:space="0" w:color="auto"/>
            </w:tcBorders>
          </w:tcPr>
          <w:p w:rsidR="005E44C1" w:rsidRPr="005E44C1" w:rsidRDefault="005E44C1" w:rsidP="005E44C1">
            <w:pPr>
              <w:rPr>
                <w:rFonts w:cstheme="minorHAnsi"/>
                <w:b/>
                <w:iCs/>
              </w:rPr>
            </w:pPr>
            <w:r w:rsidRPr="005E44C1">
              <w:rPr>
                <w:rFonts w:cstheme="minorHAnsi"/>
                <w:b/>
                <w:iCs/>
              </w:rPr>
              <w:t>Język angielski</w:t>
            </w:r>
          </w:p>
          <w:p w:rsidR="005E44C1" w:rsidRPr="005E44C1" w:rsidRDefault="005E44C1" w:rsidP="005E44C1">
            <w:pPr>
              <w:rPr>
                <w:rFonts w:cstheme="minorHAnsi"/>
                <w:b/>
                <w:iCs/>
              </w:rPr>
            </w:pPr>
            <w:r w:rsidRPr="005E44C1">
              <w:rPr>
                <w:rFonts w:cstheme="minorHAnsi"/>
                <w:b/>
                <w:iCs/>
              </w:rPr>
              <w:t>Zakres słownictwa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cstheme="minorHAnsi"/>
                <w:iCs/>
              </w:rPr>
              <w:t>O</w:t>
            </w:r>
            <w:r w:rsidRPr="00FD6845">
              <w:rPr>
                <w:rFonts w:asciiTheme="minorHAnsi" w:hAnsiTheme="minorHAnsi" w:cstheme="minorHAnsi"/>
                <w:iCs/>
              </w:rPr>
              <w:t>gólna charakterystyka przemysłu turystycznego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t>Liczebniki główne, procenty, liczby ułamkowe i dziesiętne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W</w:t>
            </w:r>
            <w:r w:rsidRPr="00FD6845">
              <w:rPr>
                <w:rFonts w:asciiTheme="minorHAnsi" w:hAnsiTheme="minorHAnsi" w:cstheme="minorHAnsi"/>
              </w:rPr>
              <w:t>arunki pracy w turystyce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t>Formy zatrudnienia, nazwy zawodów wykonywanych w turystyce, zalety i wady pracy w turystyce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lastRenderedPageBreak/>
              <w:t>Nazwy popularnych zawodów hotelarskich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Z</w:t>
            </w:r>
            <w:r w:rsidRPr="00FD6845">
              <w:rPr>
                <w:rFonts w:asciiTheme="minorHAnsi" w:hAnsiTheme="minorHAnsi" w:cstheme="minorHAnsi"/>
              </w:rPr>
              <w:t>asady pisania listu motywacyjnego</w:t>
            </w:r>
          </w:p>
          <w:p w:rsidR="005E44C1" w:rsidRDefault="005E44C1" w:rsidP="005E44C1">
            <w:pPr>
              <w:rPr>
                <w:rFonts w:cstheme="minorHAnsi"/>
              </w:rPr>
            </w:pPr>
          </w:p>
          <w:p w:rsidR="005E44C1" w:rsidRDefault="005E44C1" w:rsidP="005E44C1">
            <w:pPr>
              <w:rPr>
                <w:rFonts w:cstheme="minorHAnsi"/>
              </w:rPr>
            </w:pP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t xml:space="preserve">Nazwy krajów atrakcyjnych turystycznie; rodzaje turystyki; sektory turystyki 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Atrakcje</w:t>
            </w:r>
            <w:r w:rsidRPr="00FD68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cstheme="minorHAnsi"/>
              </w:rPr>
              <w:t xml:space="preserve">turystyczne </w:t>
            </w:r>
            <w:r w:rsidRPr="00FD6845">
              <w:rPr>
                <w:rFonts w:asciiTheme="minorHAnsi" w:hAnsiTheme="minorHAnsi" w:cstheme="minorHAnsi"/>
              </w:rPr>
              <w:t>Stanów Zjednoczonych</w:t>
            </w:r>
            <w:r>
              <w:rPr>
                <w:rFonts w:cstheme="minorHAnsi"/>
              </w:rPr>
              <w:t>/ Wielkiej Brytanii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</w:t>
            </w:r>
            <w:r w:rsidRPr="00FD6845">
              <w:rPr>
                <w:rFonts w:asciiTheme="minorHAnsi" w:hAnsiTheme="minorHAnsi" w:cstheme="minorHAnsi"/>
              </w:rPr>
              <w:t>ezerwacja telefoniczna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</w:t>
            </w:r>
            <w:r w:rsidRPr="00FD6845">
              <w:rPr>
                <w:rFonts w:asciiTheme="minorHAnsi" w:hAnsiTheme="minorHAnsi" w:cstheme="minorHAnsi"/>
              </w:rPr>
              <w:t>nformacja turystyczna na świecie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t>Słownictwo związane z działaniem biura informacji turystycznej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t>Opisywanie głównych atrakcji turystycznych swego regionu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</w:t>
            </w:r>
            <w:r w:rsidRPr="00FD6845">
              <w:rPr>
                <w:rFonts w:asciiTheme="minorHAnsi" w:hAnsiTheme="minorHAnsi" w:cstheme="minorHAnsi"/>
              </w:rPr>
              <w:t>ziałalnoś</w:t>
            </w:r>
            <w:r>
              <w:rPr>
                <w:rFonts w:asciiTheme="minorHAnsi" w:hAnsiTheme="minorHAnsi" w:cstheme="minorHAnsi"/>
              </w:rPr>
              <w:t>ć</w:t>
            </w:r>
            <w:r w:rsidRPr="00FD6845">
              <w:rPr>
                <w:rFonts w:asciiTheme="minorHAnsi" w:hAnsiTheme="minorHAnsi" w:cstheme="minorHAnsi"/>
              </w:rPr>
              <w:t xml:space="preserve"> klientów testowych</w:t>
            </w: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</w:t>
            </w:r>
            <w:r w:rsidRPr="00FD6845">
              <w:rPr>
                <w:rFonts w:asciiTheme="minorHAnsi" w:hAnsiTheme="minorHAnsi" w:cstheme="minorHAnsi"/>
              </w:rPr>
              <w:t>cena strony internetowej biura turystycznego</w:t>
            </w:r>
          </w:p>
          <w:p w:rsidR="005E44C1" w:rsidRDefault="005E44C1" w:rsidP="005E44C1">
            <w:pPr>
              <w:rPr>
                <w:rFonts w:cstheme="minorHAnsi"/>
              </w:rPr>
            </w:pPr>
          </w:p>
          <w:p w:rsidR="005E44C1" w:rsidRPr="00FD6845" w:rsidRDefault="005E44C1" w:rsidP="005E44C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W</w:t>
            </w:r>
            <w:r w:rsidRPr="00FD6845">
              <w:rPr>
                <w:rFonts w:asciiTheme="minorHAnsi" w:hAnsiTheme="minorHAnsi" w:cstheme="minorHAnsi"/>
              </w:rPr>
              <w:t>czasy zorganizowane</w:t>
            </w:r>
          </w:p>
          <w:p w:rsidR="005E44C1" w:rsidRDefault="005E44C1" w:rsidP="005E44C1">
            <w:pPr>
              <w:rPr>
                <w:rFonts w:asciiTheme="minorHAnsi" w:hAnsiTheme="minorHAnsi" w:cstheme="minorHAnsi"/>
              </w:rPr>
            </w:pPr>
            <w:r w:rsidRPr="00FD6845">
              <w:rPr>
                <w:rFonts w:asciiTheme="minorHAnsi" w:hAnsiTheme="minorHAnsi" w:cstheme="minorHAnsi"/>
              </w:rPr>
              <w:t>Wyrazy i zwroty dotyczące organizacji wycieczek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Słownictwo związane z organizacją wycieczki autokarowej</w:t>
            </w:r>
          </w:p>
          <w:p w:rsidR="005E44C1" w:rsidRPr="007E1885" w:rsidRDefault="007E1885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Słownictwo związane z opisem sytuacji zakłócających podróż</w:t>
            </w:r>
          </w:p>
          <w:p w:rsidR="007E1885" w:rsidRDefault="007E1885" w:rsidP="005E44C1">
            <w:pPr>
              <w:rPr>
                <w:rFonts w:asciiTheme="minorHAnsi" w:hAnsiTheme="minorHAnsi" w:cstheme="minorHAnsi"/>
              </w:rPr>
            </w:pP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Kategorie hoteli, jakość usług hotelowych, lokalizacja hoteli, rezerwacja pokoju hotelowego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Wyrazy i zwroty przydatne podczas meldowania gości w hotelu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Usługi i wyposażenie hotelu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Trendy w przemyśle hotelarskim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Problemy zgłaszane przez gości hotelowych</w:t>
            </w:r>
          </w:p>
          <w:p w:rsidR="007E1885" w:rsidRDefault="007E1885" w:rsidP="005E44C1">
            <w:pPr>
              <w:rPr>
                <w:rFonts w:asciiTheme="minorHAnsi" w:hAnsiTheme="minorHAnsi" w:cstheme="minorHAnsi"/>
              </w:rPr>
            </w:pP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 xml:space="preserve">Słownictwo używane przy odpowiadaniu na skargi zgłaszane przez gości hotelowych 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Opinie i oczekiwania gości hotelowych,</w:t>
            </w:r>
          </w:p>
          <w:p w:rsidR="005E44C1" w:rsidRPr="007E1885" w:rsidRDefault="005E44C1" w:rsidP="005E44C1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 xml:space="preserve">Komentarze i opinie na temat pobytu w hotelu zgłaszane </w:t>
            </w:r>
            <w:proofErr w:type="spellStart"/>
            <w:r w:rsidRPr="007E1885">
              <w:rPr>
                <w:rFonts w:asciiTheme="minorHAnsi" w:hAnsiTheme="minorHAnsi" w:cstheme="minorHAnsi"/>
              </w:rPr>
              <w:t>online</w:t>
            </w:r>
            <w:proofErr w:type="spellEnd"/>
            <w:r w:rsidRPr="007E1885">
              <w:rPr>
                <w:rFonts w:asciiTheme="minorHAnsi" w:hAnsiTheme="minorHAnsi" w:cstheme="minorHAnsi"/>
              </w:rPr>
              <w:t xml:space="preserve"> </w:t>
            </w:r>
          </w:p>
          <w:p w:rsidR="007E1885" w:rsidRDefault="007E1885" w:rsidP="00D36E93">
            <w:pPr>
              <w:jc w:val="center"/>
              <w:rPr>
                <w:rFonts w:asciiTheme="minorHAnsi" w:hAnsiTheme="minorHAnsi" w:cstheme="minorHAnsi"/>
              </w:rPr>
            </w:pPr>
          </w:p>
          <w:p w:rsidR="002C6FE4" w:rsidRPr="007E1885" w:rsidRDefault="005E44C1" w:rsidP="007E1885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>Słownictwo związane ze sztuką mala</w:t>
            </w:r>
            <w:r w:rsidR="007E1885">
              <w:rPr>
                <w:rFonts w:asciiTheme="minorHAnsi" w:hAnsiTheme="minorHAnsi" w:cstheme="minorHAnsi"/>
              </w:rPr>
              <w:t xml:space="preserve">rską i rzeźbą, architekturą; określanie dat i </w:t>
            </w:r>
            <w:r w:rsidRPr="007E1885">
              <w:rPr>
                <w:rFonts w:asciiTheme="minorHAnsi" w:hAnsiTheme="minorHAnsi" w:cstheme="minorHAnsi"/>
              </w:rPr>
              <w:t>wieków</w:t>
            </w:r>
          </w:p>
          <w:p w:rsidR="002C6FE4" w:rsidRPr="00F07064" w:rsidRDefault="002C6FE4" w:rsidP="00D36E93">
            <w:pPr>
              <w:jc w:val="both"/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D36E93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D36E93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D36E93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D36E93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D36E93">
            <w:pPr>
              <w:spacing w:line="276" w:lineRule="auto"/>
              <w:jc w:val="center"/>
            </w:pPr>
          </w:p>
          <w:p w:rsidR="002C6FE4" w:rsidRPr="00B33361" w:rsidRDefault="002C6FE4" w:rsidP="00D36E93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D36E93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Pr="00B33361" w:rsidRDefault="00F857EB" w:rsidP="00F857EB">
            <w:pPr>
              <w:jc w:val="both"/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 xml:space="preserve">poruszać się w środowisku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lastRenderedPageBreak/>
              <w:t>uczelnianym i zawodowym. Zna struktury, pozwalające mu na łączenie wypowiedzi w klarowną i spójną całość.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prezentacja </w:t>
            </w:r>
            <w:r w:rsidRPr="00ED19A7">
              <w:rPr>
                <w:rFonts w:cs="Calibri"/>
              </w:rPr>
              <w:lastRenderedPageBreak/>
              <w:t>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D36E93">
            <w:pPr>
              <w:spacing w:line="276" w:lineRule="auto"/>
              <w:jc w:val="center"/>
            </w:pPr>
          </w:p>
          <w:p w:rsidR="002C6FE4" w:rsidRPr="00B33361" w:rsidRDefault="002C6FE4" w:rsidP="00D36E93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D36E93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2C6FE4" w:rsidP="00D36E9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 tekstów  opisujących  </w:t>
            </w:r>
            <w:r w:rsidR="005E44C1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współczesną 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problematykę</w:t>
            </w:r>
            <w:r w:rsidR="005E44C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zawodową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 Wypowiadanie się  na wiele tematów dotyczących zainteresowań,  przedstawianie  poglądów na aktualne tematy . Umiejętność tworzenia krótszych</w:t>
            </w:r>
            <w:r w:rsidR="00876E88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 pisemnych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jak list formalny i nieformalny. </w:t>
            </w:r>
          </w:p>
          <w:p w:rsidR="002C6FE4" w:rsidRPr="00F857EB" w:rsidRDefault="00A25581" w:rsidP="00F0347F">
            <w:pPr>
              <w:widowControl/>
              <w:suppressAutoHyphens w:val="0"/>
              <w:spacing w:before="100" w:beforeAutospacing="1" w:after="100" w:afterAutospacing="1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D36E93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D36E93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D36E93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D36E93">
            <w:pPr>
              <w:spacing w:line="276" w:lineRule="auto"/>
              <w:jc w:val="center"/>
            </w:pPr>
          </w:p>
          <w:p w:rsidR="002C6FE4" w:rsidRPr="00ED19A7" w:rsidRDefault="002C6FE4" w:rsidP="00D36E93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D36E93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D36E93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D36E93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D36E93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D36E93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D36E93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F857EB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D36E93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D36E93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D36E93">
              <w:tc>
                <w:tcPr>
                  <w:tcW w:w="1903" w:type="dxa"/>
                </w:tcPr>
                <w:p w:rsidR="002C6FE4" w:rsidRDefault="002C6FE4" w:rsidP="00D36E9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D36E9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D36E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D36E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D36E9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CF314F" w:rsidTr="00D36E93">
              <w:tc>
                <w:tcPr>
                  <w:tcW w:w="1903" w:type="dxa"/>
                </w:tcPr>
                <w:p w:rsidR="00CF314F" w:rsidRDefault="00CF314F" w:rsidP="00D36E93">
                  <w:pPr>
                    <w:jc w:val="both"/>
                  </w:pPr>
                  <w:r w:rsidRPr="00ED19A7">
                    <w:t>ćwiczenia</w:t>
                  </w:r>
                </w:p>
                <w:p w:rsidR="00CF314F" w:rsidRPr="00ED19A7" w:rsidRDefault="00CF314F" w:rsidP="00876E88">
                  <w:r>
                    <w:t>egzamin</w:t>
                  </w:r>
                </w:p>
              </w:tc>
              <w:tc>
                <w:tcPr>
                  <w:tcW w:w="1903" w:type="dxa"/>
                </w:tcPr>
                <w:p w:rsidR="00CF314F" w:rsidRPr="00ED19A7" w:rsidRDefault="00CF314F" w:rsidP="00D36E93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F2FD0" w:rsidRDefault="002F2FD0" w:rsidP="00C37994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 ( 100%)</w:t>
                  </w:r>
                </w:p>
                <w:p w:rsidR="00CF314F" w:rsidRPr="009A1356" w:rsidRDefault="00CF314F" w:rsidP="00C37994">
                  <w:pPr>
                    <w:jc w:val="both"/>
                    <w:rPr>
                      <w:b/>
                    </w:rPr>
                  </w:pPr>
                  <w:r w:rsidRPr="009A1356">
                    <w:rPr>
                      <w:b/>
                    </w:rPr>
                    <w:t>0,4 (zaliczenie)</w:t>
                  </w:r>
                </w:p>
                <w:p w:rsidR="00CF314F" w:rsidRPr="009A1356" w:rsidRDefault="00CF314F" w:rsidP="00C37994">
                  <w:pPr>
                    <w:jc w:val="both"/>
                    <w:rPr>
                      <w:b/>
                    </w:rPr>
                  </w:pPr>
                  <w:r w:rsidRPr="009A1356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CF314F" w:rsidRPr="009A1356" w:rsidRDefault="00CF314F" w:rsidP="00CF314F">
                  <w:pPr>
                    <w:jc w:val="both"/>
                  </w:pPr>
                  <w:r>
                    <w:t>4</w:t>
                  </w:r>
                  <w:r w:rsidRPr="009A1356">
                    <w:t>,0</w:t>
                  </w:r>
                </w:p>
                <w:p w:rsidR="00CF314F" w:rsidRPr="009A1356" w:rsidRDefault="00CF314F" w:rsidP="00CF314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5E44C1" w:rsidRDefault="008844B4" w:rsidP="00D36E93">
                  <w:pPr>
                    <w:jc w:val="both"/>
                  </w:pPr>
                  <w:r>
                    <w:t>4,0</w:t>
                  </w:r>
                </w:p>
                <w:p w:rsidR="00CF314F" w:rsidRPr="009A1356" w:rsidRDefault="00CF314F" w:rsidP="00D36E93">
                  <w:pPr>
                    <w:jc w:val="both"/>
                  </w:pPr>
                  <w:r w:rsidRPr="009A1356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D36E93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D36E93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CF314F" w:rsidTr="007E18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139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D36E93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D36E93">
            <w:pPr>
              <w:rPr>
                <w:b/>
              </w:rPr>
            </w:pPr>
          </w:p>
        </w:tc>
        <w:tc>
          <w:tcPr>
            <w:tcW w:w="3609" w:type="pct"/>
            <w:gridSpan w:val="5"/>
            <w:tcBorders>
              <w:left w:val="nil"/>
            </w:tcBorders>
          </w:tcPr>
          <w:p w:rsidR="007E1885" w:rsidRPr="007E1885" w:rsidRDefault="007E1885" w:rsidP="007E1885">
            <w:pPr>
              <w:rPr>
                <w:rFonts w:asciiTheme="minorHAnsi" w:hAnsiTheme="minorHAnsi" w:cstheme="minorHAnsi"/>
                <w:lang w:val="en-US"/>
              </w:rPr>
            </w:pPr>
            <w:r w:rsidRPr="002F2FD0">
              <w:rPr>
                <w:rFonts w:asciiTheme="minorHAnsi" w:hAnsiTheme="minorHAnsi" w:cstheme="minorHAnsi"/>
                <w:i/>
                <w:lang w:val="en-US"/>
              </w:rPr>
              <w:t>English for International Tourism – Intermediate</w:t>
            </w:r>
            <w:r w:rsidRPr="007E1885"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aut.</w:t>
            </w:r>
            <w:r w:rsidRPr="007E1885">
              <w:rPr>
                <w:rFonts w:asciiTheme="minorHAnsi" w:hAnsiTheme="minorHAnsi" w:cstheme="minorHAnsi"/>
                <w:lang w:val="en-US"/>
              </w:rPr>
              <w:t>Peter</w:t>
            </w:r>
            <w:proofErr w:type="spellEnd"/>
            <w:r w:rsidRPr="007E1885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E1885">
              <w:rPr>
                <w:rFonts w:asciiTheme="minorHAnsi" w:hAnsiTheme="minorHAnsi" w:cstheme="minorHAnsi"/>
                <w:lang w:val="en-US"/>
              </w:rPr>
              <w:t>Strutt</w:t>
            </w:r>
            <w:proofErr w:type="spellEnd"/>
          </w:p>
          <w:p w:rsidR="007E1885" w:rsidRPr="007E1885" w:rsidRDefault="007E1885" w:rsidP="007E1885">
            <w:pPr>
              <w:rPr>
                <w:rFonts w:asciiTheme="minorHAnsi" w:hAnsiTheme="minorHAnsi" w:cstheme="minorHAnsi"/>
              </w:rPr>
            </w:pPr>
            <w:r w:rsidRPr="007E1885">
              <w:rPr>
                <w:rFonts w:asciiTheme="minorHAnsi" w:hAnsiTheme="minorHAnsi" w:cstheme="minorHAnsi"/>
              </w:rPr>
              <w:t xml:space="preserve">wyd. </w:t>
            </w:r>
            <w:r>
              <w:rPr>
                <w:rFonts w:asciiTheme="minorHAnsi" w:hAnsiTheme="minorHAnsi" w:cstheme="minorHAnsi"/>
              </w:rPr>
              <w:t>Pearson</w:t>
            </w:r>
          </w:p>
          <w:p w:rsidR="00CF314F" w:rsidRPr="007E1885" w:rsidRDefault="007E1885" w:rsidP="007E188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E1885">
              <w:rPr>
                <w:rFonts w:asciiTheme="minorHAnsi" w:hAnsiTheme="minorHAnsi" w:cstheme="minorHAnsi"/>
              </w:rPr>
              <w:t xml:space="preserve"> </w:t>
            </w:r>
          </w:p>
          <w:p w:rsidR="002C6FE4" w:rsidRPr="00CF314F" w:rsidRDefault="002C6FE4" w:rsidP="00CF314F">
            <w:pPr>
              <w:pStyle w:val="Akapitzlist"/>
              <w:spacing w:after="0" w:line="240" w:lineRule="auto"/>
            </w:pPr>
          </w:p>
        </w:tc>
      </w:tr>
      <w:tr w:rsidR="002C6FE4" w:rsidRPr="007E1885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91" w:type="pct"/>
            <w:gridSpan w:val="2"/>
            <w:tcBorders>
              <w:right w:val="nil"/>
            </w:tcBorders>
            <w:shd w:val="clear" w:color="auto" w:fill="D9D9D9"/>
          </w:tcPr>
          <w:p w:rsidR="002C6FE4" w:rsidRPr="007E1885" w:rsidRDefault="002C6FE4" w:rsidP="00D36E93">
            <w:pPr>
              <w:ind w:left="34"/>
              <w:jc w:val="both"/>
              <w:rPr>
                <w:b/>
              </w:rPr>
            </w:pPr>
            <w:r w:rsidRPr="007E1885">
              <w:rPr>
                <w:b/>
                <w:sz w:val="22"/>
                <w:szCs w:val="22"/>
              </w:rPr>
              <w:t>Literatura uzupełniająca:</w:t>
            </w:r>
          </w:p>
        </w:tc>
        <w:tc>
          <w:tcPr>
            <w:tcW w:w="3609" w:type="pct"/>
            <w:gridSpan w:val="5"/>
            <w:tcBorders>
              <w:left w:val="nil"/>
            </w:tcBorders>
          </w:tcPr>
          <w:p w:rsidR="00CF314F" w:rsidRPr="00076556" w:rsidRDefault="007E1885" w:rsidP="005E44C1">
            <w:pPr>
              <w:pStyle w:val="Akapitzlist"/>
              <w:spacing w:after="0" w:line="240" w:lineRule="auto"/>
              <w:ind w:left="125" w:hanging="125"/>
              <w:rPr>
                <w:rFonts w:eastAsia="Times New Roman"/>
                <w:sz w:val="24"/>
                <w:szCs w:val="24"/>
                <w:lang w:val="en-US" w:eastAsia="pl-PL"/>
              </w:rPr>
            </w:pPr>
            <w:proofErr w:type="spellStart"/>
            <w:r w:rsidRPr="002F2FD0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Tourism</w:t>
            </w:r>
            <w:proofErr w:type="spellEnd"/>
            <w:r w:rsidRPr="002F2FD0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1165A8" w:rsidRPr="002F2FD0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Career</w:t>
            </w:r>
            <w:proofErr w:type="spellEnd"/>
            <w:r w:rsidR="001165A8" w:rsidRPr="002F2FD0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65A8" w:rsidRPr="002F2FD0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Paths</w:t>
            </w:r>
            <w:proofErr w:type="spellEnd"/>
            <w:r w:rsidR="001165A8" w:rsidRPr="0007655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,  aut.</w:t>
            </w:r>
            <w:r w:rsidRPr="0007655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Virginia Evans, </w:t>
            </w:r>
            <w:proofErr w:type="spellStart"/>
            <w:r w:rsidRPr="0007655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aut</w:t>
            </w:r>
            <w:proofErr w:type="spellEnd"/>
            <w:r w:rsidRPr="0007655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="0007655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2F2FD0">
              <w:rPr>
                <w:rFonts w:asciiTheme="minorHAnsi" w:hAnsiTheme="minorHAnsi" w:cstheme="minorHAnsi"/>
                <w:sz w:val="24"/>
                <w:szCs w:val="24"/>
              </w:rPr>
              <w:t xml:space="preserve">Jenny </w:t>
            </w:r>
            <w:proofErr w:type="spellStart"/>
            <w:r w:rsidRPr="002F2FD0">
              <w:rPr>
                <w:rFonts w:asciiTheme="minorHAnsi" w:hAnsiTheme="minorHAnsi" w:cstheme="minorHAnsi"/>
                <w:sz w:val="24"/>
                <w:szCs w:val="24"/>
              </w:rPr>
              <w:t>Dooley</w:t>
            </w:r>
            <w:proofErr w:type="spellEnd"/>
            <w:r w:rsidRPr="002F2FD0">
              <w:rPr>
                <w:rFonts w:asciiTheme="minorHAnsi" w:hAnsiTheme="minorHAnsi" w:cstheme="minorHAnsi"/>
                <w:sz w:val="24"/>
                <w:szCs w:val="24"/>
              </w:rPr>
              <w:t xml:space="preserve">, Veronica </w:t>
            </w:r>
            <w:proofErr w:type="spellStart"/>
            <w:r w:rsidRPr="002F2FD0">
              <w:rPr>
                <w:rFonts w:asciiTheme="minorHAnsi" w:hAnsiTheme="minorHAnsi" w:cstheme="minorHAnsi"/>
                <w:sz w:val="24"/>
                <w:szCs w:val="24"/>
              </w:rPr>
              <w:t>Garza</w:t>
            </w:r>
            <w:proofErr w:type="spellEnd"/>
            <w:r w:rsidRPr="0007655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r w:rsidR="00076556" w:rsidRPr="0007655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7655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wyd</w:t>
            </w:r>
            <w:proofErr w:type="spellEnd"/>
            <w:r w:rsidRPr="00076556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. Express Publishing</w:t>
            </w:r>
          </w:p>
          <w:p w:rsidR="001165A8" w:rsidRPr="00076556" w:rsidRDefault="001165A8" w:rsidP="001165A8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2F2FD0">
              <w:rPr>
                <w:b w:val="0"/>
                <w:i/>
                <w:sz w:val="24"/>
                <w:szCs w:val="24"/>
                <w:lang w:val="en-US"/>
              </w:rPr>
              <w:t>Tourism</w:t>
            </w:r>
            <w:r w:rsidRPr="00076556">
              <w:rPr>
                <w:b w:val="0"/>
                <w:sz w:val="24"/>
                <w:szCs w:val="24"/>
                <w:lang w:val="en-US"/>
              </w:rPr>
              <w:t xml:space="preserve"> 1-3, </w:t>
            </w:r>
            <w:r w:rsidRPr="002F2FD0">
              <w:rPr>
                <w:b w:val="0"/>
                <w:i/>
                <w:sz w:val="24"/>
                <w:szCs w:val="24"/>
                <w:lang w:val="en-US"/>
              </w:rPr>
              <w:t>Oxford English for Careers,</w:t>
            </w:r>
            <w:r w:rsidRPr="00076556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556">
              <w:rPr>
                <w:b w:val="0"/>
                <w:sz w:val="24"/>
                <w:szCs w:val="24"/>
                <w:lang w:val="en-US"/>
              </w:rPr>
              <w:t>aut</w:t>
            </w:r>
            <w:proofErr w:type="spellEnd"/>
            <w:r w:rsidRPr="00076556">
              <w:rPr>
                <w:b w:val="0"/>
                <w:sz w:val="24"/>
                <w:szCs w:val="24"/>
                <w:lang w:val="en-US"/>
              </w:rPr>
              <w:t xml:space="preserve">. Robin Walker, Keith Harding, </w:t>
            </w:r>
            <w:proofErr w:type="spellStart"/>
            <w:r w:rsidRPr="00076556">
              <w:rPr>
                <w:b w:val="0"/>
                <w:sz w:val="24"/>
                <w:szCs w:val="24"/>
                <w:lang w:val="en-US"/>
              </w:rPr>
              <w:t>wyd</w:t>
            </w:r>
            <w:proofErr w:type="spellEnd"/>
            <w:r w:rsidRPr="00076556">
              <w:rPr>
                <w:b w:val="0"/>
                <w:sz w:val="24"/>
                <w:szCs w:val="24"/>
                <w:lang w:val="en-US"/>
              </w:rPr>
              <w:t>. Oxford Publishing</w:t>
            </w:r>
          </w:p>
          <w:p w:rsidR="002C6FE4" w:rsidRPr="007E1885" w:rsidRDefault="002C6FE4" w:rsidP="00D36E93">
            <w:pPr>
              <w:ind w:left="-42"/>
              <w:rPr>
                <w:rFonts w:cs="Times New Roman"/>
                <w:lang w:val="en-US"/>
              </w:rPr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2F2FD0" w:rsidRDefault="002C6FE4" w:rsidP="00D36E93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D36E93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Forma aktywności studenta</w:t>
            </w:r>
          </w:p>
        </w:tc>
        <w:tc>
          <w:tcPr>
            <w:tcW w:w="3609" w:type="pct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D36E93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09" w:type="pct"/>
            <w:gridSpan w:val="5"/>
            <w:tcBorders>
              <w:left w:val="single" w:sz="4" w:space="0" w:color="auto"/>
            </w:tcBorders>
          </w:tcPr>
          <w:p w:rsidR="002C6FE4" w:rsidRPr="000574C9" w:rsidRDefault="002C6FE4" w:rsidP="005B7F33">
            <w:pPr>
              <w:ind w:left="-42"/>
            </w:pPr>
            <w:r w:rsidRPr="000574C9">
              <w:t xml:space="preserve"> </w:t>
            </w:r>
            <w:r w:rsidR="005B7F33">
              <w:t>20</w:t>
            </w:r>
            <w:r w:rsidR="00F0347F" w:rsidRPr="000574C9">
              <w:t xml:space="preserve"> 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5B7F33" w:rsidP="00D36E93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3609" w:type="pct"/>
            <w:gridSpan w:val="5"/>
            <w:tcBorders>
              <w:left w:val="single" w:sz="4" w:space="0" w:color="auto"/>
            </w:tcBorders>
          </w:tcPr>
          <w:p w:rsidR="002C6FE4" w:rsidRPr="000574C9" w:rsidRDefault="002C6FE4" w:rsidP="00B81821">
            <w:pPr>
              <w:ind w:left="-42"/>
            </w:pPr>
            <w:r w:rsidRPr="000574C9">
              <w:t xml:space="preserve"> </w:t>
            </w:r>
            <w:r w:rsidR="00B81821" w:rsidRPr="000574C9">
              <w:t>4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09" w:type="pct"/>
            <w:gridSpan w:val="5"/>
            <w:tcBorders>
              <w:left w:val="single" w:sz="4" w:space="0" w:color="auto"/>
            </w:tcBorders>
          </w:tcPr>
          <w:p w:rsidR="002C6FE4" w:rsidRPr="000574C9" w:rsidRDefault="002C6FE4" w:rsidP="00D36E93">
            <w:pPr>
              <w:ind w:left="-42"/>
            </w:pPr>
            <w:r w:rsidRPr="000574C9">
              <w:t xml:space="preserve"> </w:t>
            </w:r>
            <w:r w:rsidR="00B81821" w:rsidRPr="000574C9">
              <w:t>15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09" w:type="pct"/>
            <w:gridSpan w:val="5"/>
            <w:tcBorders>
              <w:left w:val="single" w:sz="4" w:space="0" w:color="auto"/>
            </w:tcBorders>
          </w:tcPr>
          <w:p w:rsidR="002C6FE4" w:rsidRPr="000574C9" w:rsidRDefault="000574C9" w:rsidP="00D36E93">
            <w:pPr>
              <w:ind w:left="-42"/>
            </w:pPr>
            <w:bookmarkStart w:id="0" w:name="_GoBack"/>
            <w:bookmarkEnd w:id="0"/>
            <w:r w:rsidRPr="000574C9">
              <w:t>30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D36E93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09" w:type="pct"/>
            <w:gridSpan w:val="5"/>
            <w:tcBorders>
              <w:left w:val="single" w:sz="4" w:space="0" w:color="auto"/>
            </w:tcBorders>
          </w:tcPr>
          <w:p w:rsidR="002C6FE4" w:rsidRPr="000574C9" w:rsidRDefault="00076556" w:rsidP="00D36E93">
            <w:pPr>
              <w:ind w:left="-42"/>
            </w:pPr>
            <w:r>
              <w:t>1</w:t>
            </w: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91" w:type="pct"/>
            <w:gridSpan w:val="2"/>
            <w:tcBorders>
              <w:right w:val="nil"/>
            </w:tcBorders>
            <w:shd w:val="clear" w:color="auto" w:fill="auto"/>
          </w:tcPr>
          <w:p w:rsidR="002C6FE4" w:rsidRPr="00B33361" w:rsidRDefault="002C6FE4" w:rsidP="00D36E93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D36E93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09" w:type="pct"/>
            <w:gridSpan w:val="5"/>
            <w:tcBorders>
              <w:left w:val="nil"/>
            </w:tcBorders>
          </w:tcPr>
          <w:p w:rsidR="002C6FE4" w:rsidRPr="00B33361" w:rsidRDefault="002C6FE4" w:rsidP="00D36E93">
            <w:pPr>
              <w:ind w:left="-42"/>
            </w:pPr>
          </w:p>
        </w:tc>
      </w:tr>
      <w:tr w:rsidR="002C6FE4" w:rsidRPr="00B33361" w:rsidTr="00D3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D36E93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C6FE4" w:rsidRPr="00647280" w:rsidRDefault="002C6FE4" w:rsidP="002C6FE4">
      <w:pPr>
        <w:rPr>
          <w:b/>
        </w:rPr>
      </w:pPr>
      <w:r w:rsidRPr="00B33361">
        <w:rPr>
          <w:b/>
        </w:rPr>
        <w:t>*) Uwaga: w przypadku przedmiotów/modułów trwających więcej niż jeden semestr należy rozpisać semestralnie punkty 3, 4, 5, 6, 8</w:t>
      </w:r>
    </w:p>
    <w:p w:rsidR="002D53B4" w:rsidRDefault="002D53B4"/>
    <w:sectPr w:rsidR="002D53B4" w:rsidSect="0000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05B39"/>
    <w:multiLevelType w:val="hybridMultilevel"/>
    <w:tmpl w:val="59AC9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7D20"/>
    <w:multiLevelType w:val="hybridMultilevel"/>
    <w:tmpl w:val="59AC9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162A4"/>
    <w:rsid w:val="000574C9"/>
    <w:rsid w:val="00076556"/>
    <w:rsid w:val="000A3E66"/>
    <w:rsid w:val="000D361F"/>
    <w:rsid w:val="00112ABA"/>
    <w:rsid w:val="001165A8"/>
    <w:rsid w:val="00171590"/>
    <w:rsid w:val="00280361"/>
    <w:rsid w:val="002C6FE4"/>
    <w:rsid w:val="002D53B4"/>
    <w:rsid w:val="002E01B0"/>
    <w:rsid w:val="002E57E9"/>
    <w:rsid w:val="002F2FD0"/>
    <w:rsid w:val="00393F88"/>
    <w:rsid w:val="003F579F"/>
    <w:rsid w:val="00454C16"/>
    <w:rsid w:val="004851AD"/>
    <w:rsid w:val="00521B85"/>
    <w:rsid w:val="00541402"/>
    <w:rsid w:val="005A140C"/>
    <w:rsid w:val="005B7F33"/>
    <w:rsid w:val="005E071B"/>
    <w:rsid w:val="005E44C1"/>
    <w:rsid w:val="006B6833"/>
    <w:rsid w:val="006E0764"/>
    <w:rsid w:val="00766355"/>
    <w:rsid w:val="00782617"/>
    <w:rsid w:val="007E1885"/>
    <w:rsid w:val="00876E88"/>
    <w:rsid w:val="008844B4"/>
    <w:rsid w:val="00A25581"/>
    <w:rsid w:val="00A62696"/>
    <w:rsid w:val="00B30E3A"/>
    <w:rsid w:val="00B81821"/>
    <w:rsid w:val="00BE3708"/>
    <w:rsid w:val="00C17D6D"/>
    <w:rsid w:val="00CC5E99"/>
    <w:rsid w:val="00CF314F"/>
    <w:rsid w:val="00DC686E"/>
    <w:rsid w:val="00E83E01"/>
    <w:rsid w:val="00F0347F"/>
    <w:rsid w:val="00F857EB"/>
    <w:rsid w:val="00F86377"/>
    <w:rsid w:val="00FB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165A8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paragraph" w:customStyle="1" w:styleId="Zawartotabeli">
    <w:name w:val="Zawartość tabeli"/>
    <w:basedOn w:val="Normalny"/>
    <w:rsid w:val="00171590"/>
    <w:pPr>
      <w:suppressLineNumbers/>
    </w:pPr>
    <w:rPr>
      <w:rFonts w:ascii="Liberation Serif" w:hAnsi="Liberation Serif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1165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-size-extra-large">
    <w:name w:val="a-size-extra-large"/>
    <w:basedOn w:val="Domylnaczcionkaakapitu"/>
    <w:rsid w:val="0011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2017-10-29T20:31:00Z</dcterms:created>
  <dcterms:modified xsi:type="dcterms:W3CDTF">2017-11-28T18:05:00Z</dcterms:modified>
</cp:coreProperties>
</file>